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FD63" w14:textId="77777777" w:rsidR="004F06DC" w:rsidRPr="004F06DC" w:rsidRDefault="004F06DC" w:rsidP="004F06DC">
      <w:pPr>
        <w:keepNext/>
        <w:keepLines/>
        <w:spacing w:before="360" w:after="80"/>
        <w:jc w:val="center"/>
        <w:outlineLvl w:val="0"/>
        <w:rPr>
          <w:rFonts w:ascii="Times New Roman" w:eastAsiaTheme="majorEastAsia" w:hAnsi="Times New Roman" w:cs="Times New Roman"/>
          <w:b/>
          <w:caps/>
          <w:color w:val="000000" w:themeColor="text1"/>
          <w:sz w:val="44"/>
          <w:szCs w:val="44"/>
          <w14:ligatures w14:val="none"/>
        </w:rPr>
      </w:pPr>
      <w:r w:rsidRPr="004F06DC">
        <w:rPr>
          <w:rFonts w:ascii="Times New Roman" w:eastAsiaTheme="majorEastAsia" w:hAnsi="Times New Roman" w:cs="Times New Roman"/>
          <w:b/>
          <w:caps/>
          <w:color w:val="000000" w:themeColor="text1"/>
          <w:sz w:val="44"/>
          <w:szCs w:val="44"/>
          <w14:ligatures w14:val="none"/>
        </w:rPr>
        <w:t>Supplemental INFORMATION</w:t>
      </w:r>
    </w:p>
    <w:p w14:paraId="1E5A86F9" w14:textId="77777777" w:rsidR="004F06DC" w:rsidRPr="004F06DC" w:rsidRDefault="004F06DC" w:rsidP="004F06DC">
      <w:pPr>
        <w:rPr>
          <w:rFonts w:eastAsia="Times New Roman" w:cs="Times New Roman"/>
          <w14:ligatures w14:val="none"/>
        </w:rPr>
      </w:pPr>
    </w:p>
    <w:p w14:paraId="11F8C74A" w14:textId="77777777" w:rsidR="004F06DC" w:rsidRPr="004F06DC" w:rsidRDefault="004F06DC" w:rsidP="004F06D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  <w:r w:rsidRPr="004F06DC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Title: Lineage-Specific Disruption of Hematopoiesis by Oxaliplatin: Mechanisms of Erythropoietin Resistance and Immune Suppression</w:t>
      </w:r>
    </w:p>
    <w:p w14:paraId="10022AA4" w14:textId="77777777" w:rsidR="004F06DC" w:rsidRPr="004F06DC" w:rsidRDefault="004F06DC" w:rsidP="004F06DC">
      <w:pPr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</w:p>
    <w:p w14:paraId="3E2A975E" w14:textId="77777777" w:rsidR="004F06DC" w:rsidRPr="004F06DC" w:rsidRDefault="004F06DC" w:rsidP="004F06DC">
      <w:pPr>
        <w:jc w:val="center"/>
        <w:rPr>
          <w:rFonts w:ascii="Times New Roman" w:eastAsia="Times New Roman" w:hAnsi="Times New Roman" w:cs="Times New Roman"/>
          <w14:ligatures w14:val="none"/>
        </w:rPr>
      </w:pPr>
      <w:r w:rsidRPr="004F06DC">
        <w:rPr>
          <w:rFonts w:ascii="Times New Roman" w:eastAsia="Times New Roman" w:hAnsi="Times New Roman" w:cs="Times New Roman"/>
          <w14:ligatures w14:val="none"/>
        </w:rPr>
        <w:t xml:space="preserve">Leland C. </w:t>
      </w:r>
      <w:proofErr w:type="spellStart"/>
      <w:r w:rsidRPr="004F06DC">
        <w:rPr>
          <w:rFonts w:ascii="Times New Roman" w:eastAsia="Times New Roman" w:hAnsi="Times New Roman" w:cs="Times New Roman"/>
          <w14:ligatures w14:val="none"/>
        </w:rPr>
        <w:t>Sudlow</w:t>
      </w:r>
      <w:r w:rsidRPr="004F06DC">
        <w:rPr>
          <w:rFonts w:ascii="Times New Roman" w:eastAsia="Times New Roman" w:hAnsi="Times New Roman" w:cs="Times New Roman"/>
          <w:vertAlign w:val="superscript"/>
          <w14:ligatures w14:val="none"/>
        </w:rPr>
        <w:t>a</w:t>
      </w:r>
      <w:proofErr w:type="spellEnd"/>
      <w:r w:rsidRPr="004F06DC">
        <w:rPr>
          <w:rFonts w:ascii="Times New Roman" w:eastAsia="Times New Roman" w:hAnsi="Times New Roman" w:cs="Times New Roman"/>
          <w:vertAlign w:val="superscript"/>
          <w14:ligatures w14:val="none"/>
        </w:rPr>
        <w:t>*</w:t>
      </w:r>
      <w:r w:rsidRPr="004F06DC">
        <w:rPr>
          <w:rFonts w:ascii="Times New Roman" w:eastAsia="Times New Roman" w:hAnsi="Times New Roman" w:cs="Times New Roman"/>
          <w14:ligatures w14:val="none"/>
        </w:rPr>
        <w:t xml:space="preserve">, Junwei </w:t>
      </w:r>
      <w:proofErr w:type="spellStart"/>
      <w:proofErr w:type="gramStart"/>
      <w:r w:rsidRPr="004F06DC">
        <w:rPr>
          <w:rFonts w:ascii="Times New Roman" w:eastAsia="Times New Roman" w:hAnsi="Times New Roman" w:cs="Times New Roman"/>
          <w14:ligatures w14:val="none"/>
        </w:rPr>
        <w:t>Du</w:t>
      </w:r>
      <w:r w:rsidRPr="004F06DC">
        <w:rPr>
          <w:rFonts w:ascii="Times New Roman" w:eastAsia="Times New Roman" w:hAnsi="Times New Roman" w:cs="Times New Roman"/>
          <w:vertAlign w:val="superscript"/>
          <w14:ligatures w14:val="none"/>
        </w:rPr>
        <w:t>a,b</w:t>
      </w:r>
      <w:proofErr w:type="spellEnd"/>
      <w:proofErr w:type="gramEnd"/>
      <w:r w:rsidRPr="004F06DC">
        <w:rPr>
          <w:rFonts w:ascii="Times New Roman" w:eastAsia="Times New Roman" w:hAnsi="Times New Roman" w:cs="Times New Roman"/>
          <w:vertAlign w:val="superscript"/>
          <w14:ligatures w14:val="none"/>
        </w:rPr>
        <w:t>*</w:t>
      </w:r>
      <w:r w:rsidRPr="004F06DC">
        <w:rPr>
          <w:rFonts w:ascii="Times New Roman" w:eastAsia="Times New Roman" w:hAnsi="Times New Roman" w:cs="Times New Roman"/>
          <w14:ligatures w14:val="none"/>
        </w:rPr>
        <w:t>, Kiana Shahverdi</w:t>
      </w:r>
      <w:r w:rsidRPr="004F06D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a</w:t>
      </w:r>
      <w:r w:rsidRPr="004F06DC">
        <w:rPr>
          <w:rFonts w:ascii="Times New Roman" w:eastAsia="Times New Roman" w:hAnsi="Times New Roman" w:cs="Times New Roman"/>
          <w14:ligatures w14:val="none"/>
        </w:rPr>
        <w:t xml:space="preserve">, Haiying </w:t>
      </w:r>
      <w:proofErr w:type="spellStart"/>
      <w:r w:rsidRPr="004F06DC">
        <w:rPr>
          <w:rFonts w:ascii="Times New Roman" w:eastAsia="Times New Roman" w:hAnsi="Times New Roman" w:cs="Times New Roman"/>
          <w14:ligatures w14:val="none"/>
        </w:rPr>
        <w:t>Zhou</w:t>
      </w:r>
      <w:r w:rsidRPr="004F06DC">
        <w:rPr>
          <w:rFonts w:ascii="Times New Roman" w:eastAsia="Times New Roman" w:hAnsi="Times New Roman" w:cs="Times New Roman"/>
          <w:vertAlign w:val="superscript"/>
          <w14:ligatures w14:val="none"/>
        </w:rPr>
        <w:t>a</w:t>
      </w:r>
      <w:proofErr w:type="spellEnd"/>
      <w:r w:rsidRPr="004F06DC">
        <w:rPr>
          <w:rFonts w:ascii="Times New Roman" w:eastAsia="Times New Roman" w:hAnsi="Times New Roman" w:cs="Times New Roman"/>
          <w14:ligatures w14:val="none"/>
        </w:rPr>
        <w:t xml:space="preserve">, Mikhail Y. </w:t>
      </w:r>
      <w:proofErr w:type="spellStart"/>
      <w:proofErr w:type="gramStart"/>
      <w:r w:rsidRPr="004F06DC">
        <w:rPr>
          <w:rFonts w:ascii="Times New Roman" w:eastAsia="Times New Roman" w:hAnsi="Times New Roman" w:cs="Times New Roman"/>
          <w14:ligatures w14:val="none"/>
        </w:rPr>
        <w:t>Berezin</w:t>
      </w:r>
      <w:r w:rsidRPr="004F06DC">
        <w:rPr>
          <w:rFonts w:ascii="Times New Roman" w:eastAsia="Times New Roman" w:hAnsi="Times New Roman" w:cs="Times New Roman"/>
          <w:vertAlign w:val="superscript"/>
          <w14:ligatures w14:val="none"/>
        </w:rPr>
        <w:t>a,b</w:t>
      </w:r>
      <w:proofErr w:type="spellEnd"/>
      <w:proofErr w:type="gramEnd"/>
    </w:p>
    <w:p w14:paraId="02FDB710" w14:textId="77777777" w:rsidR="004F06DC" w:rsidRPr="004F06DC" w:rsidRDefault="004F06DC" w:rsidP="004F06DC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21"/>
          <w:sz w:val="22"/>
          <w:szCs w:val="22"/>
          <w14:ligatures w14:val="none"/>
        </w:rPr>
      </w:pPr>
      <w:r w:rsidRPr="004F06DC">
        <w:rPr>
          <w:rFonts w:ascii="Times New Roman" w:eastAsia="Times New Roman" w:hAnsi="Times New Roman" w:cs="Times New Roman"/>
          <w:b/>
          <w:kern w:val="21"/>
          <w:sz w:val="22"/>
          <w:szCs w:val="22"/>
          <w14:ligatures w14:val="none"/>
        </w:rPr>
        <w:t>Institutional Affiliations</w:t>
      </w:r>
      <w:r w:rsidRPr="004F06DC">
        <w:rPr>
          <w:rFonts w:ascii="Times New Roman" w:eastAsia="Times New Roman" w:hAnsi="Times New Roman" w:cs="Times New Roman"/>
          <w:kern w:val="21"/>
          <w:sz w:val="22"/>
          <w:szCs w:val="22"/>
          <w14:ligatures w14:val="none"/>
        </w:rPr>
        <w:t xml:space="preserve">: </w:t>
      </w:r>
      <w:proofErr w:type="spellStart"/>
      <w:r w:rsidRPr="004F06DC">
        <w:rPr>
          <w:rFonts w:ascii="Times New Roman" w:eastAsia="Times New Roman" w:hAnsi="Times New Roman" w:cs="Times New Roman"/>
          <w:kern w:val="21"/>
          <w:sz w:val="22"/>
          <w:szCs w:val="22"/>
          <w:vertAlign w:val="superscript"/>
          <w14:ligatures w14:val="none"/>
        </w:rPr>
        <w:t>a</w:t>
      </w:r>
      <w:r w:rsidRPr="004F06DC">
        <w:rPr>
          <w:rFonts w:ascii="Times New Roman" w:eastAsia="Times New Roman" w:hAnsi="Times New Roman" w:cs="Times New Roman"/>
          <w:kern w:val="21"/>
          <w:sz w:val="22"/>
          <w:szCs w:val="22"/>
          <w14:ligatures w14:val="none"/>
        </w:rPr>
        <w:t>Mallinckrodt</w:t>
      </w:r>
      <w:proofErr w:type="spellEnd"/>
      <w:r w:rsidRPr="004F06DC">
        <w:rPr>
          <w:rFonts w:ascii="Times New Roman" w:eastAsia="Times New Roman" w:hAnsi="Times New Roman" w:cs="Times New Roman"/>
          <w:kern w:val="21"/>
          <w:sz w:val="22"/>
          <w:szCs w:val="22"/>
          <w14:ligatures w14:val="none"/>
        </w:rPr>
        <w:t xml:space="preserve"> Institute of Radiology, Washington University School of Medicine St. Louis, MO 63110, USA; </w:t>
      </w:r>
      <w:proofErr w:type="spellStart"/>
      <w:r w:rsidRPr="004F06DC">
        <w:rPr>
          <w:rFonts w:ascii="Times New Roman" w:eastAsia="Times New Roman" w:hAnsi="Times New Roman" w:cs="Times New Roman"/>
          <w:kern w:val="21"/>
          <w:sz w:val="22"/>
          <w:szCs w:val="22"/>
          <w:vertAlign w:val="superscript"/>
          <w14:ligatures w14:val="none"/>
        </w:rPr>
        <w:t>b</w:t>
      </w:r>
      <w:r w:rsidRPr="004F06DC">
        <w:rPr>
          <w:rFonts w:ascii="Times New Roman" w:eastAsia="Times New Roman" w:hAnsi="Times New Roman" w:cs="Times New Roman"/>
          <w:color w:val="000000"/>
          <w:kern w:val="21"/>
          <w:sz w:val="22"/>
          <w:szCs w:val="22"/>
          <w14:ligatures w14:val="none"/>
        </w:rPr>
        <w:t>Institute</w:t>
      </w:r>
      <w:proofErr w:type="spellEnd"/>
      <w:r w:rsidRPr="004F06DC">
        <w:rPr>
          <w:rFonts w:ascii="Times New Roman" w:eastAsia="Times New Roman" w:hAnsi="Times New Roman" w:cs="Times New Roman"/>
          <w:color w:val="000000"/>
          <w:kern w:val="21"/>
          <w:sz w:val="22"/>
          <w:szCs w:val="22"/>
          <w14:ligatures w14:val="none"/>
        </w:rPr>
        <w:t xml:space="preserve"> of Materials Science &amp; Engineering</w:t>
      </w:r>
      <w:r w:rsidRPr="004F06DC">
        <w:rPr>
          <w:rFonts w:ascii="Times New Roman" w:eastAsia="Times New Roman" w:hAnsi="Times New Roman" w:cs="Times New Roman"/>
          <w:kern w:val="21"/>
          <w:sz w:val="22"/>
          <w:szCs w:val="22"/>
          <w14:ligatures w14:val="none"/>
        </w:rPr>
        <w:t xml:space="preserve"> Washington University, St. Louis, MO 63130, USA</w:t>
      </w:r>
    </w:p>
    <w:p w14:paraId="7F7D6899" w14:textId="77777777" w:rsidR="00BE0F9D" w:rsidRDefault="00BE0F9D" w:rsidP="004F06DC">
      <w:pPr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</w:p>
    <w:p w14:paraId="15D8186C" w14:textId="77777777" w:rsidR="00BE0F9D" w:rsidRDefault="00BE0F9D" w:rsidP="004F06DC">
      <w:pPr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</w:p>
    <w:p w14:paraId="5A647FFB" w14:textId="0922C479" w:rsidR="004F06DC" w:rsidRDefault="004F06DC" w:rsidP="004F06DC">
      <w:pPr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  <w:r w:rsidRPr="004F06DC"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  <w:t>FIGURES</w:t>
      </w:r>
    </w:p>
    <w:p w14:paraId="296333CD" w14:textId="4F0D1E0C" w:rsidR="004F06DC" w:rsidRPr="004F06DC" w:rsidRDefault="004F06DC" w:rsidP="004F06DC">
      <w:pPr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14:ligatures w14:val="none"/>
        </w:rPr>
        <w:drawing>
          <wp:inline distT="0" distB="0" distL="0" distR="0" wp14:anchorId="4E05E71A" wp14:editId="296605F0">
            <wp:extent cx="1943100" cy="1914525"/>
            <wp:effectExtent l="0" t="0" r="0" b="9525"/>
            <wp:docPr id="17530636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14:ligatures w14:val="none"/>
        </w:rPr>
        <w:drawing>
          <wp:inline distT="0" distB="0" distL="0" distR="0" wp14:anchorId="0EBCE3C3" wp14:editId="7BECC999">
            <wp:extent cx="1971675" cy="1905000"/>
            <wp:effectExtent l="0" t="0" r="9525" b="0"/>
            <wp:docPr id="5586948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14:ligatures w14:val="none"/>
        </w:rPr>
        <w:drawing>
          <wp:inline distT="0" distB="0" distL="0" distR="0" wp14:anchorId="779DE849" wp14:editId="2EBACB11">
            <wp:extent cx="1933575" cy="2009775"/>
            <wp:effectExtent l="0" t="0" r="9525" b="9525"/>
            <wp:docPr id="203082913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1"/>
        <w:gridCol w:w="3119"/>
      </w:tblGrid>
      <w:tr w:rsidR="004F06DC" w:rsidRPr="004F06DC" w14:paraId="4DEEF01E" w14:textId="77777777" w:rsidTr="004F06DC">
        <w:trPr>
          <w:jc w:val="center"/>
        </w:trPr>
        <w:tc>
          <w:tcPr>
            <w:tcW w:w="1667" w:type="pct"/>
          </w:tcPr>
          <w:p w14:paraId="68F39B9B" w14:textId="2B751534" w:rsidR="004F06DC" w:rsidRPr="004F06DC" w:rsidRDefault="004F06DC" w:rsidP="004F06DC">
            <w:pPr>
              <w:jc w:val="center"/>
              <w:rPr>
                <w:rFonts w:cs="Aptos"/>
              </w:rPr>
            </w:pPr>
          </w:p>
        </w:tc>
        <w:tc>
          <w:tcPr>
            <w:tcW w:w="1667" w:type="pct"/>
          </w:tcPr>
          <w:p w14:paraId="64A58264" w14:textId="2FAA185B" w:rsidR="004F06DC" w:rsidRPr="004F06DC" w:rsidRDefault="004F06DC" w:rsidP="004F06DC">
            <w:pPr>
              <w:keepNext/>
              <w:jc w:val="center"/>
              <w:rPr>
                <w:rFonts w:cs="Aptos"/>
              </w:rPr>
            </w:pPr>
          </w:p>
        </w:tc>
        <w:tc>
          <w:tcPr>
            <w:tcW w:w="1666" w:type="pct"/>
          </w:tcPr>
          <w:p w14:paraId="3C88248C" w14:textId="16074335" w:rsidR="004F06DC" w:rsidRPr="004F06DC" w:rsidRDefault="004F06DC" w:rsidP="004F06DC">
            <w:pPr>
              <w:keepNext/>
              <w:rPr>
                <w:rFonts w:cs="Aptos"/>
              </w:rPr>
            </w:pPr>
          </w:p>
        </w:tc>
      </w:tr>
    </w:tbl>
    <w:p w14:paraId="627E7FE5" w14:textId="77777777" w:rsidR="004F06DC" w:rsidRPr="004F06DC" w:rsidRDefault="004F06DC" w:rsidP="004F06DC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</w:pPr>
      <w:r w:rsidRPr="004F06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2"/>
          <w:szCs w:val="22"/>
          <w14:ligatures w14:val="none"/>
        </w:rPr>
        <w:t>Figure S1</w:t>
      </w:r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 xml:space="preserve"> </w:t>
      </w:r>
      <w:r w:rsidRPr="004F06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2"/>
          <w:szCs w:val="22"/>
          <w14:ligatures w14:val="none"/>
        </w:rPr>
        <w:t>Effects of oxaliplatin on mouse erythrocyte parameters.</w:t>
      </w:r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 xml:space="preserve"> </w:t>
      </w:r>
      <w:r w:rsidRPr="004F06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2"/>
          <w:szCs w:val="22"/>
          <w14:ligatures w14:val="none"/>
        </w:rPr>
        <w:t>A</w:t>
      </w:r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 xml:space="preserve">). Erythrocyte </w:t>
      </w:r>
      <w:proofErr w:type="gramStart"/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>mean</w:t>
      </w:r>
      <w:proofErr w:type="gramEnd"/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 xml:space="preserve"> cell volume (</w:t>
      </w:r>
      <w:proofErr w:type="spellStart"/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>fL</w:t>
      </w:r>
      <w:proofErr w:type="spellEnd"/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 xml:space="preserve">). </w:t>
      </w:r>
      <w:r w:rsidRPr="004F06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2"/>
          <w:szCs w:val="22"/>
          <w14:ligatures w14:val="none"/>
        </w:rPr>
        <w:t>B</w:t>
      </w:r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 xml:space="preserve">). Erythrocyte </w:t>
      </w:r>
      <w:proofErr w:type="gramStart"/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>mean</w:t>
      </w:r>
      <w:proofErr w:type="gramEnd"/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 xml:space="preserve"> cell hemoglobin (</w:t>
      </w:r>
      <w:proofErr w:type="spellStart"/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>pg</w:t>
      </w:r>
      <w:proofErr w:type="spellEnd"/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 xml:space="preserve">). </w:t>
      </w:r>
      <w:r w:rsidRPr="004F06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2"/>
          <w:szCs w:val="22"/>
          <w14:ligatures w14:val="none"/>
        </w:rPr>
        <w:t>C</w:t>
      </w:r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 xml:space="preserve">) Erythrocyte </w:t>
      </w:r>
      <w:proofErr w:type="gramStart"/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>mean</w:t>
      </w:r>
      <w:proofErr w:type="gramEnd"/>
      <w:r w:rsidRPr="004F06D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14:ligatures w14:val="none"/>
        </w:rPr>
        <w:t xml:space="preserve"> cell hemoglobin concentration (g/dL). Bars represent the average ± STD with individual data points. T-test results are indicated by brackets. Statistical significance marks: *=p&lt;0.05, **=p&lt;0.01, *** = p&lt;0.001, **** = p&lt;0.0001</w:t>
      </w:r>
    </w:p>
    <w:p w14:paraId="29FD5B98" w14:textId="77777777" w:rsidR="004F06DC" w:rsidRPr="004F06DC" w:rsidRDefault="004F06DC" w:rsidP="004F06DC">
      <w:pPr>
        <w:rPr>
          <w:rFonts w:eastAsia="Times New Roman" w:cs="Times New Roman"/>
          <w14:ligatures w14:val="none"/>
        </w:rPr>
      </w:pPr>
    </w:p>
    <w:p w14:paraId="77AFA32B" w14:textId="05040BBA" w:rsidR="004F06DC" w:rsidRPr="004F06DC" w:rsidRDefault="004F06DC" w:rsidP="004F06DC">
      <w:pPr>
        <w:keepNext/>
        <w:rPr>
          <w:rFonts w:eastAsia="Times New Roman" w:cs="Times New Roman"/>
          <w14:ligatures w14:val="none"/>
        </w:rPr>
      </w:pPr>
      <w:r w:rsidRPr="004F06DC">
        <w:rPr>
          <w:rFonts w:eastAsia="Times New Roman" w:cs="Times New Roman"/>
          <w:noProof/>
          <w14:ligatures w14:val="none"/>
        </w:rPr>
        <w:lastRenderedPageBreak/>
        <w:drawing>
          <wp:inline distT="0" distB="0" distL="0" distR="0" wp14:anchorId="436C7890" wp14:editId="5492B051">
            <wp:extent cx="5943600" cy="3343275"/>
            <wp:effectExtent l="0" t="0" r="0" b="9525"/>
            <wp:docPr id="1910923328" name="Picture 5" descr="A diagram of a cell cy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23328" name="Picture 5" descr="A diagram of a cell cy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3975E" w14:textId="77777777" w:rsidR="004F06DC" w:rsidRPr="004F06DC" w:rsidRDefault="004F06DC" w:rsidP="004F06DC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F06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Figure S2</w:t>
      </w:r>
      <w:proofErr w:type="gramStart"/>
      <w:r w:rsidRPr="004F06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4F06D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Glycolysis</w:t>
      </w:r>
      <w:proofErr w:type="gramEnd"/>
      <w:r w:rsidRPr="004F06D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in bone marrow is upregulated in the oxaliplatin treated mice.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Abbreviations of enzymes and proteins with encoded genes is in parenthesis: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ALDOA, aldolase A (</w:t>
      </w:r>
      <w:proofErr w:type="spellStart"/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Aldoa</w:t>
      </w:r>
      <w:proofErr w:type="spellEnd"/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ALDOB, aldolase B (</w:t>
      </w:r>
      <w:proofErr w:type="spellStart"/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Aldob</w:t>
      </w:r>
      <w:proofErr w:type="spellEnd"/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ENO1/3, enolase 1and 3 (</w:t>
      </w:r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Eno1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</w:t>
      </w:r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Eno3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GAPDH, glyceraldehyde-3-phosphate dehydrogenase (</w:t>
      </w:r>
      <w:proofErr w:type="spellStart"/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Gapdh</w:t>
      </w:r>
      <w:proofErr w:type="spellEnd"/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GLUT1, glucose transporter 1 (</w:t>
      </w:r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Slc2a1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GLUT3, glucose transporter 3 (</w:t>
      </w:r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Slc2a3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GLUT4, insulin-responsive glucose transporter 4; GPI1, glucose-6-phosphate isomerase 1 (</w:t>
      </w:r>
      <w:r w:rsidRPr="004F06D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Gpi1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HK1/2/3, hexokinase 1/2/3 (</w:t>
      </w:r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Hk1, Hk2,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Hk3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 LDHA, lactose dehydrogenase A (</w:t>
      </w:r>
      <w:proofErr w:type="spellStart"/>
      <w:r w:rsidRPr="004F06D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Ldha</w:t>
      </w:r>
      <w:proofErr w:type="spellEnd"/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); LDHB, lactose dehydrogenase B </w:t>
      </w:r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(</w:t>
      </w:r>
      <w:proofErr w:type="spellStart"/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Ldhb</w:t>
      </w:r>
      <w:proofErr w:type="spellEnd"/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); MCT1/3/6 monocarboxylic acid transporters 1/3/6 </w:t>
      </w:r>
      <w:bookmarkStart w:id="0" w:name="OLE_LINK292"/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</w:t>
      </w:r>
      <w:bookmarkStart w:id="1" w:name="OLE_LINK301"/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Slc16a1</w:t>
      </w:r>
      <w:bookmarkEnd w:id="0"/>
      <w:bookmarkEnd w:id="1"/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, Slc16a3, Slc16a6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PGAM1/2/5, phosphoglycerate mutase 1/2/5 (</w:t>
      </w:r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Pgam1, Pgam2, Pgam5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PGK1, Phosphoglycerate Kinase 1 (</w:t>
      </w:r>
      <w:r w:rsidRPr="004F06D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Pgk1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);  </w:t>
      </w:r>
      <w:bookmarkStart w:id="2" w:name="OLE_LINK137"/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PKFL, phosphofructokinase liver type (</w:t>
      </w:r>
      <w:proofErr w:type="spellStart"/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Pfkl</w:t>
      </w:r>
      <w:proofErr w:type="spellEnd"/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); </w:t>
      </w:r>
      <w:bookmarkEnd w:id="2"/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PKFM, phosphofructokinase muscle type (</w:t>
      </w:r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Pfkm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PKFP, phosphofructokinase platelet type (</w:t>
      </w:r>
      <w:proofErr w:type="spellStart"/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Pfkp</w:t>
      </w:r>
      <w:proofErr w:type="spellEnd"/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); 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PKLR, pyruvate kinase, liver and RBC (</w:t>
      </w:r>
      <w:proofErr w:type="spellStart"/>
      <w:r w:rsidRPr="004F06D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Pklr</w:t>
      </w:r>
      <w:proofErr w:type="spellEnd"/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PKM, pyruvate kinase, muscle type (</w:t>
      </w:r>
      <w:proofErr w:type="spellStart"/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Pkm</w:t>
      </w:r>
      <w:proofErr w:type="spellEnd"/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 TPI1, topoisomerase 1 (</w:t>
      </w:r>
      <w:r w:rsidRPr="004F06D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Tpi1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). 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  <w:t>The schematics is in part based on KEGG Pathways</w:t>
      </w:r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bookmarkStart w:id="3" w:name="OLE_LINK309"/>
      <w:r w:rsidRPr="004F0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Red – upregulated genes, grey – unaffected genes, blue downregulated genes.</w:t>
      </w:r>
      <w:bookmarkEnd w:id="3"/>
    </w:p>
    <w:p w14:paraId="12A2B69C" w14:textId="77777777" w:rsidR="004F06DC" w:rsidRPr="004F06DC" w:rsidRDefault="004F06DC" w:rsidP="004F06DC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4440C3" w14:textId="77777777" w:rsidR="004F06DC" w:rsidRPr="004F06DC" w:rsidRDefault="004F06DC" w:rsidP="004F06DC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753442" w14:textId="77777777" w:rsidR="004F06DC" w:rsidRPr="004F06DC" w:rsidRDefault="004F06DC" w:rsidP="004F06DC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62A365" w14:textId="77777777" w:rsidR="004F06DC" w:rsidRPr="004F06DC" w:rsidRDefault="004F06DC" w:rsidP="004F06DC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22FDE1" w14:textId="77777777" w:rsidR="004F06DC" w:rsidRPr="004F06DC" w:rsidRDefault="004F06DC" w:rsidP="004F06DC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7296AC" w14:textId="77777777" w:rsidR="004F06DC" w:rsidRPr="004F06DC" w:rsidRDefault="004F06DC" w:rsidP="004F06DC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0B40F2" w14:textId="77777777" w:rsidR="004F06DC" w:rsidRPr="004F06DC" w:rsidRDefault="004F06DC" w:rsidP="004F06DC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C72C26" w14:textId="77777777" w:rsidR="004F06DC" w:rsidRPr="004F06DC" w:rsidRDefault="004F06DC" w:rsidP="004F06DC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F59C66" w14:textId="77777777" w:rsidR="004F06DC" w:rsidRPr="004F06DC" w:rsidRDefault="004F06DC" w:rsidP="004F06DC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7DD2CB" w14:textId="77777777" w:rsidR="004F06DC" w:rsidRPr="004F06DC" w:rsidRDefault="004F06DC" w:rsidP="004F06DC">
      <w:pPr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  <w:r w:rsidRPr="004F06DC"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  <w:lastRenderedPageBreak/>
        <w:t>TABLES</w:t>
      </w:r>
    </w:p>
    <w:p w14:paraId="460C7223" w14:textId="69FF8499" w:rsidR="004F06DC" w:rsidRPr="004F06DC" w:rsidRDefault="004F06DC" w:rsidP="004F06DC">
      <w:pPr>
        <w:rPr>
          <w:rFonts w:ascii="Times New Roman" w:eastAsia="Times New Roman" w:hAnsi="Times New Roman" w:cs="Times New Roman"/>
          <w:b/>
          <w:bCs/>
          <w:iCs/>
          <w14:ligatures w14:val="none"/>
        </w:rPr>
      </w:pPr>
      <w:r w:rsidRPr="004F06DC">
        <w:rPr>
          <w:rFonts w:ascii="Times New Roman" w:eastAsia="Times New Roman" w:hAnsi="Times New Roman" w:cs="Times New Roman"/>
          <w:b/>
          <w:bCs/>
          <w:iCs/>
          <w14:ligatures w14:val="none"/>
        </w:rPr>
        <w:t xml:space="preserve">Table S1 Differentially expressed genes </w:t>
      </w:r>
      <w:r w:rsidR="00F71428">
        <w:rPr>
          <w:rFonts w:ascii="Times New Roman" w:eastAsia="Times New Roman" w:hAnsi="Times New Roman" w:cs="Times New Roman"/>
          <w:b/>
          <w:bCs/>
          <w:iCs/>
          <w14:ligatures w14:val="none"/>
        </w:rPr>
        <w:t>from</w:t>
      </w:r>
      <w:r w:rsidRPr="004F06DC">
        <w:rPr>
          <w:rFonts w:ascii="Times New Roman" w:eastAsia="Times New Roman" w:hAnsi="Times New Roman" w:cs="Times New Roman"/>
          <w:b/>
          <w:bCs/>
          <w:iCs/>
          <w14:ligatures w14:val="none"/>
        </w:rPr>
        <w:t xml:space="preserve"> bone marrow</w:t>
      </w:r>
      <w:r w:rsidR="00F71428">
        <w:rPr>
          <w:rFonts w:ascii="Times New Roman" w:eastAsia="Times New Roman" w:hAnsi="Times New Roman" w:cs="Times New Roman"/>
          <w:b/>
          <w:bCs/>
          <w:iCs/>
          <w14:ligatures w14:val="none"/>
        </w:rPr>
        <w:t>:</w:t>
      </w:r>
      <w:r w:rsidRPr="004F06DC">
        <w:rPr>
          <w:rFonts w:ascii="Times New Roman" w:eastAsia="Times New Roman" w:hAnsi="Times New Roman" w:cs="Times New Roman"/>
          <w:b/>
          <w:bCs/>
          <w:iCs/>
          <w14:ligatures w14:val="none"/>
        </w:rPr>
        <w:t xml:space="preserve"> oxaliplatin vs control. </w:t>
      </w:r>
    </w:p>
    <w:p w14:paraId="668391FD" w14:textId="3DF7555D" w:rsidR="004F06DC" w:rsidRPr="004F06DC" w:rsidRDefault="004F06DC" w:rsidP="004F06D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14:ligatures w14:val="none"/>
        </w:rPr>
      </w:pPr>
      <w:r w:rsidRPr="004F06DC">
        <w:rPr>
          <w:rFonts w:ascii="Times New Roman" w:eastAsia="Times New Roman" w:hAnsi="Times New Roman" w:cs="Times New Roman"/>
          <w14:ligatures w14:val="none"/>
        </w:rPr>
        <w:t xml:space="preserve">(see a separate </w:t>
      </w:r>
      <w:r w:rsidR="00BE0F9D">
        <w:rPr>
          <w:rFonts w:ascii="Times New Roman" w:eastAsia="Times New Roman" w:hAnsi="Times New Roman" w:cs="Times New Roman"/>
          <w14:ligatures w14:val="none"/>
        </w:rPr>
        <w:t xml:space="preserve">supplemental </w:t>
      </w:r>
      <w:r w:rsidR="00F71428">
        <w:rPr>
          <w:rFonts w:ascii="Times New Roman" w:eastAsia="Times New Roman" w:hAnsi="Times New Roman" w:cs="Times New Roman"/>
          <w14:ligatures w14:val="none"/>
        </w:rPr>
        <w:t xml:space="preserve">Excel </w:t>
      </w:r>
      <w:r w:rsidRPr="004F06DC">
        <w:rPr>
          <w:rFonts w:ascii="Times New Roman" w:eastAsia="Times New Roman" w:hAnsi="Times New Roman" w:cs="Times New Roman"/>
          <w14:ligatures w14:val="none"/>
        </w:rPr>
        <w:t>file</w:t>
      </w:r>
      <w:r w:rsidR="00BE0F9D">
        <w:rPr>
          <w:rFonts w:ascii="Times New Roman" w:eastAsia="Times New Roman" w:hAnsi="Times New Roman" w:cs="Times New Roman"/>
          <w14:ligatures w14:val="none"/>
        </w:rPr>
        <w:t xml:space="preserve"> named </w:t>
      </w:r>
      <w:r w:rsidR="00F71428" w:rsidRPr="00F71428">
        <w:rPr>
          <w:rFonts w:ascii="Times New Roman" w:eastAsia="Times New Roman" w:hAnsi="Times New Roman" w:cs="Times New Roman"/>
          <w:b/>
          <w:bCs/>
          <w14:ligatures w14:val="none"/>
        </w:rPr>
        <w:t>Table S1 Bone marrow 3691 DEGs FC 1.5</w:t>
      </w:r>
      <w:r w:rsidRPr="004F06DC">
        <w:rPr>
          <w:rFonts w:ascii="Times New Roman" w:eastAsia="Times New Roman" w:hAnsi="Times New Roman" w:cs="Times New Roman"/>
          <w14:ligatures w14:val="none"/>
        </w:rPr>
        <w:t>)</w:t>
      </w:r>
    </w:p>
    <w:p w14:paraId="6084789D" w14:textId="77777777" w:rsidR="004F06DC" w:rsidRPr="004F06DC" w:rsidRDefault="004F06DC" w:rsidP="004F06DC">
      <w:pPr>
        <w:rPr>
          <w:rFonts w:ascii="Times New Roman" w:eastAsia="Times New Roman" w:hAnsi="Times New Roman" w:cs="Times New Roman"/>
          <w14:ligatures w14:val="none"/>
        </w:rPr>
      </w:pPr>
    </w:p>
    <w:p w14:paraId="551419D7" w14:textId="77777777" w:rsidR="004F06DC" w:rsidRPr="004F06DC" w:rsidRDefault="004F06DC" w:rsidP="004F06DC">
      <w:pPr>
        <w:rPr>
          <w:rFonts w:ascii="Times New Roman" w:eastAsia="Times New Roman" w:hAnsi="Times New Roman" w:cs="Times New Roman"/>
          <w:b/>
          <w:bCs/>
          <w:iCs/>
          <w14:ligatures w14:val="none"/>
        </w:rPr>
      </w:pPr>
      <w:bookmarkStart w:id="4" w:name="OLE_LINK213"/>
      <w:r w:rsidRPr="004F06DC">
        <w:rPr>
          <w:rFonts w:ascii="Times New Roman" w:eastAsia="Times New Roman" w:hAnsi="Times New Roman" w:cs="Times New Roman"/>
          <w:b/>
          <w:bCs/>
          <w:iCs/>
          <w14:ligatures w14:val="none"/>
        </w:rPr>
        <w:t>Table S2 Keyword-Based Grouping of GO Terms into Biological Themes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7516"/>
      </w:tblGrid>
      <w:tr w:rsidR="004F06DC" w:rsidRPr="004F06DC" w14:paraId="65C9F144" w14:textId="77777777" w:rsidTr="003A6A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4"/>
          <w:p w14:paraId="7F304224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Theme</w:t>
            </w:r>
          </w:p>
        </w:tc>
        <w:tc>
          <w:tcPr>
            <w:tcW w:w="0" w:type="auto"/>
            <w:vAlign w:val="center"/>
            <w:hideMark/>
          </w:tcPr>
          <w:p w14:paraId="796654A3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Keywords</w:t>
            </w:r>
          </w:p>
        </w:tc>
      </w:tr>
      <w:tr w:rsidR="004F06DC" w:rsidRPr="004F06DC" w14:paraId="7E99542C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9A7E1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Stress &amp; Cytokine Response</w:t>
            </w:r>
          </w:p>
        </w:tc>
        <w:tc>
          <w:tcPr>
            <w:tcW w:w="0" w:type="auto"/>
            <w:vAlign w:val="center"/>
            <w:hideMark/>
          </w:tcPr>
          <w:p w14:paraId="31EA24FA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stress, interferon, </w:t>
            </w:r>
            <w:proofErr w:type="gram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cytokine</w:t>
            </w:r>
            <w:proofErr w:type="gram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, inflammatory, defense</w:t>
            </w:r>
          </w:p>
        </w:tc>
      </w:tr>
      <w:tr w:rsidR="004F06DC" w:rsidRPr="004F06DC" w14:paraId="338C0E09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F1584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Inflammation &amp; Immune Signaling</w:t>
            </w:r>
          </w:p>
        </w:tc>
        <w:tc>
          <w:tcPr>
            <w:tcW w:w="0" w:type="auto"/>
            <w:vAlign w:val="center"/>
            <w:hideMark/>
          </w:tcPr>
          <w:p w14:paraId="1E295AC6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inflammation, inflammatory,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tnf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il-1, il-6,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nf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-kb, toll-like, interleukin, chemokine, ccl,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cxcl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, immune response, inflammasome, pattern recognition, pathogen response</w:t>
            </w:r>
          </w:p>
        </w:tc>
      </w:tr>
      <w:tr w:rsidR="004F06DC" w:rsidRPr="004F06DC" w14:paraId="69D0B981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33A46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Oxidative Stress &amp; Redox Regulation</w:t>
            </w:r>
          </w:p>
        </w:tc>
        <w:tc>
          <w:tcPr>
            <w:tcW w:w="0" w:type="auto"/>
            <w:vAlign w:val="center"/>
            <w:hideMark/>
          </w:tcPr>
          <w:p w14:paraId="59DF6273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oxidative, redox, reactive oxygen,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ros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nitrosative, nrf2, antioxidant, glutathione, superoxide, peroxidase, peroxiredoxin, sod, catalase, thioredoxin, oxidoreductase, hydrogen peroxide, peroxide, nitric oxide,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peroxynitrite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nadph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oxidase, mitochondrial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ros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electron transport chain, mitochondrial dysfunction, oxidative damage, protein oxidation, lipid peroxidation,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dna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oxidation, redox imbalance</w:t>
            </w:r>
          </w:p>
        </w:tc>
      </w:tr>
      <w:tr w:rsidR="004F06DC" w:rsidRPr="004F06DC" w14:paraId="4B077473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98101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Extracellular Matrix &amp; Adhesion</w:t>
            </w:r>
          </w:p>
        </w:tc>
        <w:tc>
          <w:tcPr>
            <w:tcW w:w="0" w:type="auto"/>
            <w:vAlign w:val="center"/>
            <w:hideMark/>
          </w:tcPr>
          <w:p w14:paraId="7586AF7E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extracellular, matrix, adhesion, integrin, collagen, remodeling, fibronectin, laminin, basement </w:t>
            </w:r>
            <w:proofErr w:type="gram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membrane,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mmp</w:t>
            </w:r>
            <w:proofErr w:type="spellEnd"/>
            <w:proofErr w:type="gram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matrix metalloproteinase, tenascin, focal adhesion,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ecm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tissue remodeling, stromal, scaffold,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matrisome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, cell junction, cell adhesion, cell-matrix, desmosome</w:t>
            </w:r>
          </w:p>
        </w:tc>
      </w:tr>
      <w:tr w:rsidR="004F06DC" w:rsidRPr="004F06DC" w14:paraId="2BADA337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B4D65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Metabolic Re-wiring</w:t>
            </w:r>
          </w:p>
        </w:tc>
        <w:tc>
          <w:tcPr>
            <w:tcW w:w="0" w:type="auto"/>
            <w:vAlign w:val="center"/>
            <w:hideMark/>
          </w:tcPr>
          <w:p w14:paraId="64A511ED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metabolic, oxidoreductase, catabolic, fatty, one-carbon, biosynthetic</w:t>
            </w:r>
          </w:p>
        </w:tc>
      </w:tr>
      <w:tr w:rsidR="004F06DC" w:rsidRPr="004F06DC" w14:paraId="3581F3FC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B40F5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Hematopoietic &amp; Immune Commitment</w:t>
            </w:r>
          </w:p>
        </w:tc>
        <w:tc>
          <w:tcPr>
            <w:tcW w:w="0" w:type="auto"/>
            <w:vAlign w:val="center"/>
            <w:hideMark/>
          </w:tcPr>
          <w:p w14:paraId="2AD7D7E3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hematopoiet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myeloid, lymphoid, leukocyte, granulocyte,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erythro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megakary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erythropoiet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myelopoiet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thrombopoiet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lymphocyte, monocyte, neutrophil, eosinophil, basophil, platelet, erythrocyte, anemia, cytopenia, pancytopenia, thrombocytopenia, leukopenia, neutropenia, immune cell, blood cell, hematologic, hematopoiesis, stem cell,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hsc</w:t>
            </w:r>
            <w:proofErr w:type="spellEnd"/>
          </w:p>
        </w:tc>
      </w:tr>
      <w:tr w:rsidR="004F06DC" w:rsidRPr="004F06DC" w14:paraId="259BCBBB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9E030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bookmarkStart w:id="5" w:name="_Hlk218006942"/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Cell-Cycle &amp; Apoptosis</w:t>
            </w:r>
          </w:p>
        </w:tc>
        <w:tc>
          <w:tcPr>
            <w:tcW w:w="0" w:type="auto"/>
            <w:vAlign w:val="center"/>
            <w:hideMark/>
          </w:tcPr>
          <w:p w14:paraId="3F9A82E1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cell cycle, mitotic, chromosome, checkpoint,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dna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replication, nuclear division, apoptosis, programmed cell death, caspase</w:t>
            </w:r>
          </w:p>
        </w:tc>
      </w:tr>
      <w:bookmarkEnd w:id="5"/>
      <w:tr w:rsidR="004F06DC" w:rsidRPr="004F06DC" w14:paraId="0AD875E6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37E2D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Neurotrophic Signaling &amp; Growth Factors</w:t>
            </w:r>
          </w:p>
        </w:tc>
        <w:tc>
          <w:tcPr>
            <w:tcW w:w="0" w:type="auto"/>
            <w:vAlign w:val="center"/>
            <w:hideMark/>
          </w:tcPr>
          <w:p w14:paraId="066C7BDD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neurotrophin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ngf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bdnf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ntf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trk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trka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trkb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gdnf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growth factor,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igf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egf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fgf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, receptor tyrosine kinase</w:t>
            </w:r>
          </w:p>
        </w:tc>
      </w:tr>
      <w:tr w:rsidR="004F06DC" w:rsidRPr="004F06DC" w14:paraId="177FAA03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FBD44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Immune–Neuronal Crosstalk</w:t>
            </w:r>
          </w:p>
        </w:tc>
        <w:tc>
          <w:tcPr>
            <w:tcW w:w="0" w:type="auto"/>
            <w:vAlign w:val="center"/>
            <w:hideMark/>
          </w:tcPr>
          <w:p w14:paraId="1B7CA2D6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microglia, macrophage, satellite glia, neuroimmune, neuroinflammation, cd11b, cd68, csf1,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tslp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complement,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ccr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cxcr</w:t>
            </w:r>
            <w:proofErr w:type="spellEnd"/>
          </w:p>
        </w:tc>
      </w:tr>
      <w:tr w:rsidR="004F06DC" w:rsidRPr="004F06DC" w14:paraId="362434E5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9E665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Pain &amp; Nociception</w:t>
            </w:r>
          </w:p>
        </w:tc>
        <w:tc>
          <w:tcPr>
            <w:tcW w:w="0" w:type="auto"/>
            <w:vAlign w:val="center"/>
            <w:hideMark/>
          </w:tcPr>
          <w:p w14:paraId="6BF87819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pain, nociception, nociceptor, hyperalgesia, allodynia, trpv1, trpa1, scn9a, piezo, itch, sensory perception, neuropeptide</w:t>
            </w:r>
          </w:p>
        </w:tc>
      </w:tr>
      <w:tr w:rsidR="004F06DC" w:rsidRPr="004F06DC" w14:paraId="3C6B2AF5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DF88E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Oxidative Phosphorylation &amp; Mitochondria</w:t>
            </w:r>
          </w:p>
        </w:tc>
        <w:tc>
          <w:tcPr>
            <w:tcW w:w="0" w:type="auto"/>
            <w:vAlign w:val="center"/>
            <w:hideMark/>
          </w:tcPr>
          <w:p w14:paraId="01051E61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mitochondrial, oxidative phosphorylation, electron transport chain,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atp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synthase, complex I, respiratory chain, mitophagy</w:t>
            </w:r>
          </w:p>
        </w:tc>
      </w:tr>
      <w:tr w:rsidR="004F06DC" w:rsidRPr="004F06DC" w14:paraId="54BB23B1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BC9ED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lastRenderedPageBreak/>
              <w:t xml:space="preserve">Autophagy &amp;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Proteostasis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5E74FF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autophagy, lysosome, proteasome, ubiquitin, protein folding, chaperone</w:t>
            </w:r>
          </w:p>
        </w:tc>
      </w:tr>
      <w:tr w:rsidR="004F06DC" w:rsidRPr="004F06DC" w14:paraId="549C6490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51AF6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Bone Remodeling &amp; Osteogenesis</w:t>
            </w:r>
          </w:p>
        </w:tc>
        <w:tc>
          <w:tcPr>
            <w:tcW w:w="0" w:type="auto"/>
            <w:vAlign w:val="center"/>
            <w:hideMark/>
          </w:tcPr>
          <w:p w14:paraId="1DF82B28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osteogenesis, bone formation, bone development, skeletal development, ossification, mineralization, bone mineralization, osteoblast, osteoblast differentiation, osteoblast proliferation, osteoid, bone matrix formation, alkaline phosphatase, runx2,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osterix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sp7, collagen, osteoclast, osteoclast differentiation,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osteoclastogenesis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bone resorption, trap, cathepsin k, bone remodeling, bone turnover, skeletal homeostasis, rank,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rankl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opg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wnt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signaling, beta-catenin, bmp,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tgf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beta,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smad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signaling, endosteal niche, bone marrow niche,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osteolineage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cell, hematopoietic niche, mesenchymal stem cell, stromal cell, bone matrix, hydroxyapatite, osteocalcin,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osteopontin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, sclerostin, osteoporosis, osteopenia, bone loss</w:t>
            </w:r>
          </w:p>
        </w:tc>
      </w:tr>
      <w:tr w:rsidR="004F06DC" w:rsidRPr="004F06DC" w14:paraId="55F8258F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AC9A6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Neuronal Excitability &amp; Synapse</w:t>
            </w: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</w:t>
            </w:r>
            <w:r w:rsidRPr="004F06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14:ligatures w14:val="none"/>
              </w:rPr>
              <w:t>(disabled)</w:t>
            </w:r>
          </w:p>
        </w:tc>
        <w:tc>
          <w:tcPr>
            <w:tcW w:w="0" w:type="auto"/>
            <w:vAlign w:val="center"/>
            <w:hideMark/>
          </w:tcPr>
          <w:p w14:paraId="14A696E9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axon, dendrite, synapse, neurotransmitter, vesicle, action potential, ion channel, potassium, sodium, calcium, glutamate,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gaba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synaptic, neurogenesis,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axonogenesis</w:t>
            </w:r>
            <w:proofErr w:type="spellEnd"/>
          </w:p>
        </w:tc>
      </w:tr>
      <w:tr w:rsidR="004F06DC" w:rsidRPr="004F06DC" w14:paraId="1B1A79C2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5D2A4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Myelination &amp; Schwann Cell Biology</w:t>
            </w: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</w:t>
            </w:r>
            <w:r w:rsidRPr="004F06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14:ligatures w14:val="none"/>
              </w:rPr>
              <w:t>(disabled)</w:t>
            </w:r>
          </w:p>
        </w:tc>
        <w:tc>
          <w:tcPr>
            <w:tcW w:w="0" w:type="auto"/>
            <w:vAlign w:val="center"/>
            <w:hideMark/>
          </w:tcPr>
          <w:p w14:paraId="5F2EA270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myelin,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schwann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cell,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mbp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mpz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prx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pmp22, node of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ranvier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myelination, myelin sheath, axon ensheathment, remyelination, demyelination,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schwann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cell differentiation,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schwann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cell proliferation,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schwann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cell migration, axon guidance, nerve regeneration</w:t>
            </w:r>
          </w:p>
        </w:tc>
      </w:tr>
      <w:tr w:rsidR="004F06DC" w:rsidRPr="004F06DC" w14:paraId="0C388ABD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DBD80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Fibrosis</w:t>
            </w: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</w:t>
            </w:r>
            <w:r w:rsidRPr="004F06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14:ligatures w14:val="none"/>
              </w:rPr>
              <w:t>(disabled)</w:t>
            </w:r>
          </w:p>
        </w:tc>
        <w:tc>
          <w:tcPr>
            <w:tcW w:w="0" w:type="auto"/>
            <w:vAlign w:val="center"/>
            <w:hideMark/>
          </w:tcPr>
          <w:p w14:paraId="471BAFEA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fibrosis, fibrotic, extracellular matrix, matrix organization, matrix remodeling, collagen, fibronectin, laminin, myofibroblast, tissue remodeling,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tgf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beta,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smad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signaling,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emt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endmt</w:t>
            </w:r>
            <w:proofErr w:type="spellEnd"/>
          </w:p>
        </w:tc>
      </w:tr>
      <w:tr w:rsidR="004F06DC" w:rsidRPr="004F06DC" w14:paraId="52BA1BCA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F2942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Adipose Tissue Development</w:t>
            </w: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</w:t>
            </w:r>
            <w:r w:rsidRPr="004F06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14:ligatures w14:val="none"/>
              </w:rPr>
              <w:t>(disabled)</w:t>
            </w:r>
          </w:p>
        </w:tc>
        <w:tc>
          <w:tcPr>
            <w:tcW w:w="0" w:type="auto"/>
            <w:vAlign w:val="center"/>
            <w:hideMark/>
          </w:tcPr>
          <w:p w14:paraId="5C4EB672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adipose tissue, adipogenesis, adipocyte, lipid storage, lipogenesis, 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ppar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gamma, c/</w:t>
            </w:r>
            <w:proofErr w:type="spellStart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ebp</w:t>
            </w:r>
            <w:proofErr w:type="spellEnd"/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, thermogenesis</w:t>
            </w:r>
          </w:p>
        </w:tc>
      </w:tr>
      <w:tr w:rsidR="004F06DC" w:rsidRPr="004F06DC" w14:paraId="5F41C18E" w14:textId="77777777" w:rsidTr="003A6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17D59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Cardiac &amp; Muscle Function</w:t>
            </w: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 xml:space="preserve"> </w:t>
            </w:r>
            <w:r w:rsidRPr="004F06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14:ligatures w14:val="none"/>
              </w:rPr>
              <w:t>(disabled)</w:t>
            </w:r>
          </w:p>
        </w:tc>
        <w:tc>
          <w:tcPr>
            <w:tcW w:w="0" w:type="auto"/>
            <w:vAlign w:val="center"/>
            <w:hideMark/>
          </w:tcPr>
          <w:p w14:paraId="7602AA07" w14:textId="77777777" w:rsidR="004F06DC" w:rsidRPr="004F06DC" w:rsidRDefault="004F06DC" w:rsidP="004F06DC">
            <w:pPr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sz w:val="18"/>
                <w:szCs w:val="18"/>
                <w14:ligatures w14:val="none"/>
              </w:rPr>
              <w:t>heart, cardiac, cardiomyocyte, contraction, sarcomere, troponin, myosin, arrhythmia, heart failure, cardiomyopathy</w:t>
            </w:r>
          </w:p>
        </w:tc>
      </w:tr>
    </w:tbl>
    <w:p w14:paraId="78AB5DE4" w14:textId="77777777" w:rsidR="004F06DC" w:rsidRPr="004F06DC" w:rsidRDefault="004F06DC" w:rsidP="004F06DC">
      <w:pPr>
        <w:rPr>
          <w:rFonts w:eastAsia="Times New Roman" w:cs="Times New Roman"/>
          <w14:ligatures w14:val="none"/>
        </w:rPr>
      </w:pPr>
    </w:p>
    <w:p w14:paraId="613DF6F3" w14:textId="77777777" w:rsidR="004F06DC" w:rsidRPr="004F06DC" w:rsidRDefault="004F06DC" w:rsidP="004F06DC">
      <w:pPr>
        <w:keepNext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2"/>
          <w:szCs w:val="22"/>
          <w14:ligatures w14:val="none"/>
        </w:rPr>
      </w:pPr>
    </w:p>
    <w:p w14:paraId="2137C3B0" w14:textId="77777777" w:rsidR="004F06DC" w:rsidRPr="004F06DC" w:rsidRDefault="004F06DC" w:rsidP="004F06DC">
      <w:pPr>
        <w:keepNext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2"/>
          <w:szCs w:val="22"/>
          <w14:ligatures w14:val="none"/>
        </w:rPr>
      </w:pPr>
      <w:bookmarkStart w:id="6" w:name="OLE_LINK113"/>
      <w:r w:rsidRPr="004F06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2"/>
          <w:szCs w:val="22"/>
          <w14:ligatures w14:val="none"/>
        </w:rPr>
        <w:t>Table S3 Correlation: Erythroid Maturation vs Hemoglobin Genes</w:t>
      </w:r>
    </w:p>
    <w:bookmarkEnd w:id="6"/>
    <w:tbl>
      <w:tblPr>
        <w:tblW w:w="5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960"/>
        <w:gridCol w:w="960"/>
        <w:gridCol w:w="960"/>
        <w:gridCol w:w="960"/>
      </w:tblGrid>
      <w:tr w:rsidR="004F06DC" w:rsidRPr="004F06DC" w14:paraId="2A9F4AE0" w14:textId="77777777" w:rsidTr="003A6A57">
        <w:trPr>
          <w:trHeight w:val="290"/>
          <w:jc w:val="center"/>
        </w:trPr>
        <w:tc>
          <w:tcPr>
            <w:tcW w:w="1780" w:type="dxa"/>
            <w:noWrap/>
            <w:vAlign w:val="bottom"/>
            <w:hideMark/>
          </w:tcPr>
          <w:p w14:paraId="735AF0A1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CE4B73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Hba-a1</w:t>
            </w:r>
          </w:p>
        </w:tc>
        <w:tc>
          <w:tcPr>
            <w:tcW w:w="960" w:type="dxa"/>
            <w:noWrap/>
            <w:vAlign w:val="bottom"/>
            <w:hideMark/>
          </w:tcPr>
          <w:p w14:paraId="3F31311A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Hba-a2</w:t>
            </w:r>
          </w:p>
        </w:tc>
        <w:tc>
          <w:tcPr>
            <w:tcW w:w="960" w:type="dxa"/>
            <w:noWrap/>
            <w:vAlign w:val="bottom"/>
            <w:hideMark/>
          </w:tcPr>
          <w:p w14:paraId="5D35805F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Hbb-bt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688AA9C1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Hbb-bs</w:t>
            </w:r>
          </w:p>
        </w:tc>
      </w:tr>
      <w:tr w:rsidR="004F06DC" w:rsidRPr="004F06DC" w14:paraId="39903BE0" w14:textId="77777777" w:rsidTr="003A6A57">
        <w:trPr>
          <w:trHeight w:val="290"/>
          <w:jc w:val="center"/>
        </w:trPr>
        <w:tc>
          <w:tcPr>
            <w:tcW w:w="1780" w:type="dxa"/>
            <w:noWrap/>
            <w:vAlign w:val="bottom"/>
            <w:hideMark/>
          </w:tcPr>
          <w:p w14:paraId="3C082D38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7" w:name="_Hlk201855376"/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Spta1</w:t>
            </w:r>
          </w:p>
        </w:tc>
        <w:tc>
          <w:tcPr>
            <w:tcW w:w="960" w:type="dxa"/>
            <w:noWrap/>
            <w:vAlign w:val="bottom"/>
            <w:hideMark/>
          </w:tcPr>
          <w:p w14:paraId="20BB9FE0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0.969</w:t>
            </w:r>
          </w:p>
        </w:tc>
        <w:tc>
          <w:tcPr>
            <w:tcW w:w="960" w:type="dxa"/>
            <w:noWrap/>
            <w:vAlign w:val="bottom"/>
            <w:hideMark/>
          </w:tcPr>
          <w:p w14:paraId="58F128BE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0.965</w:t>
            </w:r>
          </w:p>
        </w:tc>
        <w:tc>
          <w:tcPr>
            <w:tcW w:w="960" w:type="dxa"/>
            <w:noWrap/>
            <w:vAlign w:val="bottom"/>
            <w:hideMark/>
          </w:tcPr>
          <w:p w14:paraId="36B4EF18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0.965</w:t>
            </w:r>
          </w:p>
        </w:tc>
        <w:tc>
          <w:tcPr>
            <w:tcW w:w="960" w:type="dxa"/>
            <w:noWrap/>
            <w:vAlign w:val="bottom"/>
            <w:hideMark/>
          </w:tcPr>
          <w:p w14:paraId="56453F0A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0.972</w:t>
            </w:r>
          </w:p>
        </w:tc>
      </w:tr>
      <w:tr w:rsidR="004F06DC" w:rsidRPr="004F06DC" w14:paraId="7D8E8F07" w14:textId="77777777" w:rsidTr="003A6A57">
        <w:trPr>
          <w:trHeight w:val="290"/>
          <w:jc w:val="center"/>
        </w:trPr>
        <w:tc>
          <w:tcPr>
            <w:tcW w:w="1780" w:type="dxa"/>
            <w:noWrap/>
            <w:vAlign w:val="bottom"/>
            <w:hideMark/>
          </w:tcPr>
          <w:p w14:paraId="6D55C0A9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Slc4a1</w:t>
            </w:r>
          </w:p>
        </w:tc>
        <w:tc>
          <w:tcPr>
            <w:tcW w:w="960" w:type="dxa"/>
            <w:noWrap/>
            <w:vAlign w:val="bottom"/>
            <w:hideMark/>
          </w:tcPr>
          <w:p w14:paraId="0DCD0DC1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0.985</w:t>
            </w:r>
          </w:p>
        </w:tc>
        <w:tc>
          <w:tcPr>
            <w:tcW w:w="960" w:type="dxa"/>
            <w:noWrap/>
            <w:vAlign w:val="bottom"/>
            <w:hideMark/>
          </w:tcPr>
          <w:p w14:paraId="0E95706B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0.982</w:t>
            </w:r>
          </w:p>
        </w:tc>
        <w:tc>
          <w:tcPr>
            <w:tcW w:w="960" w:type="dxa"/>
            <w:noWrap/>
            <w:vAlign w:val="bottom"/>
            <w:hideMark/>
          </w:tcPr>
          <w:p w14:paraId="16068168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0.982</w:t>
            </w:r>
          </w:p>
        </w:tc>
        <w:tc>
          <w:tcPr>
            <w:tcW w:w="960" w:type="dxa"/>
            <w:noWrap/>
            <w:vAlign w:val="bottom"/>
            <w:hideMark/>
          </w:tcPr>
          <w:p w14:paraId="129F1FAB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0.987</w:t>
            </w:r>
          </w:p>
        </w:tc>
      </w:tr>
      <w:tr w:rsidR="004F06DC" w:rsidRPr="004F06DC" w14:paraId="6A0A14F4" w14:textId="77777777" w:rsidTr="003A6A57">
        <w:trPr>
          <w:trHeight w:val="290"/>
          <w:jc w:val="center"/>
        </w:trPr>
        <w:tc>
          <w:tcPr>
            <w:tcW w:w="1780" w:type="dxa"/>
            <w:noWrap/>
            <w:vAlign w:val="bottom"/>
            <w:hideMark/>
          </w:tcPr>
          <w:p w14:paraId="6111EA50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Sptb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0756F920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0.965</w:t>
            </w:r>
          </w:p>
        </w:tc>
        <w:tc>
          <w:tcPr>
            <w:tcW w:w="960" w:type="dxa"/>
            <w:noWrap/>
            <w:vAlign w:val="bottom"/>
            <w:hideMark/>
          </w:tcPr>
          <w:p w14:paraId="2E9FEFFB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0.959</w:t>
            </w:r>
          </w:p>
        </w:tc>
        <w:tc>
          <w:tcPr>
            <w:tcW w:w="960" w:type="dxa"/>
            <w:noWrap/>
            <w:vAlign w:val="bottom"/>
            <w:hideMark/>
          </w:tcPr>
          <w:p w14:paraId="48C6423B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0.958</w:t>
            </w:r>
          </w:p>
        </w:tc>
        <w:tc>
          <w:tcPr>
            <w:tcW w:w="960" w:type="dxa"/>
            <w:noWrap/>
            <w:vAlign w:val="bottom"/>
            <w:hideMark/>
          </w:tcPr>
          <w:p w14:paraId="78E7A74C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0.967</w:t>
            </w:r>
          </w:p>
        </w:tc>
      </w:tr>
      <w:tr w:rsidR="004F06DC" w:rsidRPr="004F06DC" w14:paraId="4839B405" w14:textId="77777777" w:rsidTr="003A6A57">
        <w:trPr>
          <w:trHeight w:val="290"/>
          <w:jc w:val="center"/>
        </w:trPr>
        <w:tc>
          <w:tcPr>
            <w:tcW w:w="1780" w:type="dxa"/>
            <w:noWrap/>
            <w:vAlign w:val="bottom"/>
            <w:hideMark/>
          </w:tcPr>
          <w:p w14:paraId="1FD2C8B5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Ank1</w:t>
            </w:r>
          </w:p>
        </w:tc>
        <w:tc>
          <w:tcPr>
            <w:tcW w:w="960" w:type="dxa"/>
            <w:noWrap/>
            <w:vAlign w:val="bottom"/>
            <w:hideMark/>
          </w:tcPr>
          <w:p w14:paraId="746A8917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0.948</w:t>
            </w:r>
          </w:p>
        </w:tc>
        <w:tc>
          <w:tcPr>
            <w:tcW w:w="960" w:type="dxa"/>
            <w:noWrap/>
            <w:vAlign w:val="bottom"/>
            <w:hideMark/>
          </w:tcPr>
          <w:p w14:paraId="361A202E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0.942</w:t>
            </w:r>
          </w:p>
        </w:tc>
        <w:tc>
          <w:tcPr>
            <w:tcW w:w="960" w:type="dxa"/>
            <w:noWrap/>
            <w:vAlign w:val="bottom"/>
            <w:hideMark/>
          </w:tcPr>
          <w:p w14:paraId="2351630C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0.943</w:t>
            </w:r>
          </w:p>
        </w:tc>
        <w:tc>
          <w:tcPr>
            <w:tcW w:w="960" w:type="dxa"/>
            <w:noWrap/>
            <w:vAlign w:val="bottom"/>
            <w:hideMark/>
          </w:tcPr>
          <w:p w14:paraId="04519124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0.950</w:t>
            </w:r>
          </w:p>
        </w:tc>
      </w:tr>
      <w:tr w:rsidR="004F06DC" w:rsidRPr="004F06DC" w14:paraId="73C90EF8" w14:textId="77777777" w:rsidTr="003A6A57">
        <w:trPr>
          <w:trHeight w:val="290"/>
          <w:jc w:val="center"/>
        </w:trPr>
        <w:tc>
          <w:tcPr>
            <w:tcW w:w="1780" w:type="dxa"/>
            <w:noWrap/>
            <w:vAlign w:val="bottom"/>
            <w:hideMark/>
          </w:tcPr>
          <w:p w14:paraId="68BC0885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Alas2</w:t>
            </w:r>
          </w:p>
        </w:tc>
        <w:tc>
          <w:tcPr>
            <w:tcW w:w="960" w:type="dxa"/>
            <w:noWrap/>
            <w:vAlign w:val="bottom"/>
            <w:hideMark/>
          </w:tcPr>
          <w:p w14:paraId="109FB4F4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0.999</w:t>
            </w:r>
          </w:p>
        </w:tc>
        <w:tc>
          <w:tcPr>
            <w:tcW w:w="960" w:type="dxa"/>
            <w:noWrap/>
            <w:vAlign w:val="bottom"/>
            <w:hideMark/>
          </w:tcPr>
          <w:p w14:paraId="59EDB7ED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0.998</w:t>
            </w:r>
          </w:p>
        </w:tc>
        <w:tc>
          <w:tcPr>
            <w:tcW w:w="960" w:type="dxa"/>
            <w:noWrap/>
            <w:vAlign w:val="bottom"/>
            <w:hideMark/>
          </w:tcPr>
          <w:p w14:paraId="0FB5DD49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0.996</w:t>
            </w:r>
          </w:p>
        </w:tc>
        <w:tc>
          <w:tcPr>
            <w:tcW w:w="960" w:type="dxa"/>
            <w:noWrap/>
            <w:vAlign w:val="bottom"/>
            <w:hideMark/>
          </w:tcPr>
          <w:p w14:paraId="4EF6F95C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0.999</w:t>
            </w:r>
          </w:p>
        </w:tc>
      </w:tr>
      <w:bookmarkEnd w:id="7"/>
    </w:tbl>
    <w:p w14:paraId="0350240D" w14:textId="77777777" w:rsidR="004F06DC" w:rsidRPr="004F06DC" w:rsidRDefault="004F06DC" w:rsidP="004F06DC">
      <w:pPr>
        <w:jc w:val="center"/>
        <w:rPr>
          <w:rFonts w:eastAsia="Times New Roman" w:cs="Times New Roman"/>
          <w14:ligatures w14:val="none"/>
        </w:rPr>
      </w:pPr>
    </w:p>
    <w:p w14:paraId="3483C630" w14:textId="77777777" w:rsidR="004F06DC" w:rsidRPr="004F06DC" w:rsidRDefault="004F06DC" w:rsidP="004F06DC">
      <w:pPr>
        <w:rPr>
          <w:rFonts w:eastAsia="Times New Roman" w:cs="Times New Roman"/>
          <w14:ligatures w14:val="none"/>
        </w:rPr>
      </w:pPr>
    </w:p>
    <w:p w14:paraId="3E56F383" w14:textId="77777777" w:rsidR="004F06DC" w:rsidRPr="004F06DC" w:rsidRDefault="004F06DC" w:rsidP="004F06DC">
      <w:pPr>
        <w:rPr>
          <w:rFonts w:eastAsia="Times New Roman" w:cs="Times New Roman"/>
          <w14:ligatures w14:val="none"/>
        </w:rPr>
      </w:pPr>
    </w:p>
    <w:p w14:paraId="28C8AB6D" w14:textId="77777777" w:rsidR="004F06DC" w:rsidRPr="004F06DC" w:rsidRDefault="004F06DC" w:rsidP="004F06DC">
      <w:pPr>
        <w:rPr>
          <w:rFonts w:eastAsia="Times New Roman" w:cs="Times New Roman"/>
          <w14:ligatures w14:val="none"/>
        </w:rPr>
      </w:pPr>
    </w:p>
    <w:p w14:paraId="35654F56" w14:textId="77777777" w:rsidR="004F06DC" w:rsidRPr="004F06DC" w:rsidRDefault="004F06DC" w:rsidP="004F06DC">
      <w:pPr>
        <w:rPr>
          <w:rFonts w:eastAsia="Times New Roman" w:cs="Times New Roman"/>
          <w14:ligatures w14:val="none"/>
        </w:rPr>
      </w:pPr>
    </w:p>
    <w:p w14:paraId="0AA16ED0" w14:textId="77777777" w:rsidR="004F06DC" w:rsidRPr="004F06DC" w:rsidRDefault="004F06DC" w:rsidP="004F06DC">
      <w:pPr>
        <w:keepNext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2"/>
          <w:szCs w:val="22"/>
          <w14:ligatures w14:val="none"/>
        </w:rPr>
      </w:pPr>
      <w:r w:rsidRPr="004F06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2"/>
          <w:szCs w:val="22"/>
          <w14:ligatures w14:val="none"/>
        </w:rPr>
        <w:t>Table S4 T cell (CD4) and B cell Marker Correlation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7"/>
        <w:gridCol w:w="795"/>
        <w:gridCol w:w="798"/>
        <w:gridCol w:w="804"/>
        <w:gridCol w:w="802"/>
        <w:gridCol w:w="770"/>
        <w:gridCol w:w="795"/>
        <w:gridCol w:w="795"/>
        <w:gridCol w:w="797"/>
        <w:gridCol w:w="933"/>
        <w:gridCol w:w="1174"/>
      </w:tblGrid>
      <w:tr w:rsidR="004F06DC" w:rsidRPr="004F06DC" w14:paraId="2B3047AC" w14:textId="77777777" w:rsidTr="003A6A57">
        <w:trPr>
          <w:trHeight w:val="29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C97F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0639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 cells</w:t>
            </w:r>
          </w:p>
        </w:tc>
        <w:tc>
          <w:tcPr>
            <w:tcW w:w="29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8090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 cells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F592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NK cells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B309" w14:textId="77777777" w:rsidR="004F06DC" w:rsidRPr="004F06DC" w:rsidRDefault="004F06DC" w:rsidP="004F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Monocytes</w:t>
            </w:r>
          </w:p>
        </w:tc>
      </w:tr>
      <w:tr w:rsidR="004F06DC" w:rsidRPr="004F06DC" w14:paraId="1D3F0888" w14:textId="77777777" w:rsidTr="003A6A57">
        <w:trPr>
          <w:trHeight w:val="29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5E6F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Genes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845B712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Cd4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58CF2FF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Cd79a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B530916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Cd79b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B9072C5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Ms4a1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F8FF16B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Pax5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02D6777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Ighd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8E73905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Ighm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98320CC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Il7r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68E23DA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Klrb1c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060231D9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Irf8</w:t>
            </w:r>
          </w:p>
        </w:tc>
      </w:tr>
      <w:tr w:rsidR="004F06DC" w:rsidRPr="004F06DC" w14:paraId="3E87A045" w14:textId="77777777" w:rsidTr="003A6A57">
        <w:trPr>
          <w:trHeight w:val="29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13D0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8" w:name="_Hlk201855274"/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Cd4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9FFD433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67C86DD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24E9A10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C79201F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DD2039B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CE10995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0395C6B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39B2CB2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30E6881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ACBFBCC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0.935</w:t>
            </w:r>
          </w:p>
        </w:tc>
      </w:tr>
      <w:tr w:rsidR="004F06DC" w:rsidRPr="004F06DC" w14:paraId="6A627030" w14:textId="77777777" w:rsidTr="003A6A57">
        <w:trPr>
          <w:trHeight w:val="29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44C4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Cd79a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B86FAE7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45458BF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2DD4F5C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F3A4A32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A3D4ED6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D062629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FF2B222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CA8A7E1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D3D414C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41FEE34A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0.930</w:t>
            </w:r>
          </w:p>
        </w:tc>
      </w:tr>
      <w:tr w:rsidR="004F06DC" w:rsidRPr="004F06DC" w14:paraId="71AE8C5F" w14:textId="77777777" w:rsidTr="003A6A57">
        <w:trPr>
          <w:trHeight w:val="29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C743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Cd79b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0C74FC6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94C3120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B057C6E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C835FB5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6FB4AC4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1701AE5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4C486EE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27913BA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9F6BA6A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95A20F0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0.913</w:t>
            </w:r>
          </w:p>
        </w:tc>
      </w:tr>
      <w:tr w:rsidR="004F06DC" w:rsidRPr="004F06DC" w14:paraId="26DD97DC" w14:textId="77777777" w:rsidTr="003A6A57">
        <w:trPr>
          <w:trHeight w:val="29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1C03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Ms4a1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2DB708A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779229F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D31E1FC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DB7718B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18B91AD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2606BD1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815262F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E66E39D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C36F8B2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3EF8567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0.914</w:t>
            </w:r>
          </w:p>
        </w:tc>
      </w:tr>
      <w:tr w:rsidR="004F06DC" w:rsidRPr="004F06DC" w14:paraId="16CF8732" w14:textId="77777777" w:rsidTr="003A6A57">
        <w:trPr>
          <w:trHeight w:val="29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ABCA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Pax5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D262832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BE0C867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974E0C6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3DFDF1A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E7EB3BF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DC29548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CE5BE66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4C647B0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5B915DD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28887A7B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0.929</w:t>
            </w:r>
          </w:p>
        </w:tc>
      </w:tr>
      <w:tr w:rsidR="004F06DC" w:rsidRPr="004F06DC" w14:paraId="2F4A5FAF" w14:textId="77777777" w:rsidTr="003A6A57">
        <w:trPr>
          <w:trHeight w:val="29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39B8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Klrb1c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8ED164B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A7D1BE7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CA452E5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70CFD34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85A577C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CDAEE3C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5F26ADB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FFA4573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F472A36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82B46DC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0.595</w:t>
            </w:r>
          </w:p>
        </w:tc>
      </w:tr>
      <w:tr w:rsidR="004F06DC" w:rsidRPr="004F06DC" w14:paraId="10936769" w14:textId="77777777" w:rsidTr="003A6A57">
        <w:trPr>
          <w:trHeight w:val="29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767E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Irf8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ADFA946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16DB2AD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86C854B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6425E0C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B1EB6FF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45F16CD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EFA78DB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9FB6737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CB373FB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0.595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B755D91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4F06DC" w:rsidRPr="004F06DC" w14:paraId="08CA92FA" w14:textId="77777777" w:rsidTr="003A6A57">
        <w:trPr>
          <w:trHeight w:val="29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D1A2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Ighd</w:t>
            </w:r>
            <w:proofErr w:type="spellEnd"/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B60E6F4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F88F3D6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3FF3761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0FC4786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950BDDD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990AD7D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E5C64F4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999EEF5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17112D4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49EC4973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0.893</w:t>
            </w:r>
          </w:p>
        </w:tc>
      </w:tr>
      <w:tr w:rsidR="004F06DC" w:rsidRPr="004F06DC" w14:paraId="69FCC588" w14:textId="77777777" w:rsidTr="003A6A57">
        <w:trPr>
          <w:trHeight w:val="29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3E43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Ighm</w:t>
            </w:r>
            <w:proofErr w:type="spellEnd"/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2E26814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2BFBC01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09C4C0E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71E78D3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70DF1EB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D06B836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5D5C26A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4902B55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9DB3903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1A271FD4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0.889</w:t>
            </w:r>
          </w:p>
        </w:tc>
      </w:tr>
      <w:tr w:rsidR="004F06DC" w:rsidRPr="004F06DC" w14:paraId="1649DAF4" w14:textId="77777777" w:rsidTr="003A6A57">
        <w:trPr>
          <w:trHeight w:val="29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D11E" w14:textId="77777777" w:rsidR="004F06DC" w:rsidRPr="004F06DC" w:rsidRDefault="004F06DC" w:rsidP="004F06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Il7r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58D3627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563503C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E09CE03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931161D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B2A4C40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0BBF470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59D4794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DCFB8E7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4F56257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4CA7726" w14:textId="77777777" w:rsidR="004F06DC" w:rsidRPr="004F06DC" w:rsidRDefault="004F06DC" w:rsidP="004F0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6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0.925</w:t>
            </w:r>
          </w:p>
        </w:tc>
      </w:tr>
      <w:bookmarkEnd w:id="8"/>
    </w:tbl>
    <w:p w14:paraId="2A6176B8" w14:textId="77777777" w:rsidR="004F06DC" w:rsidRPr="004F06DC" w:rsidRDefault="004F06DC" w:rsidP="004F06DC">
      <w:pPr>
        <w:rPr>
          <w:rFonts w:eastAsia="Times New Roman" w:cs="Times New Roman"/>
          <w:iCs/>
          <w14:ligatures w14:val="none"/>
        </w:rPr>
      </w:pPr>
    </w:p>
    <w:p w14:paraId="78142D88" w14:textId="77777777" w:rsidR="004F06DC" w:rsidRPr="004F06DC" w:rsidRDefault="004F06DC" w:rsidP="004F06DC">
      <w:pPr>
        <w:rPr>
          <w:rFonts w:eastAsia="Times New Roman" w:cs="Times New Roman"/>
          <w:iCs/>
          <w14:ligatures w14:val="none"/>
        </w:rPr>
      </w:pPr>
    </w:p>
    <w:p w14:paraId="129EE5C6" w14:textId="77777777" w:rsidR="00F06381" w:rsidRDefault="00F06381"/>
    <w:sectPr w:rsidR="00F06381" w:rsidSect="004F0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30DD4"/>
    <w:multiLevelType w:val="hybridMultilevel"/>
    <w:tmpl w:val="FFFFFFFF"/>
    <w:lvl w:ilvl="0" w:tplc="7906677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2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DC"/>
    <w:rsid w:val="0030300D"/>
    <w:rsid w:val="003E1FB8"/>
    <w:rsid w:val="004D29C3"/>
    <w:rsid w:val="004F06DC"/>
    <w:rsid w:val="00711A4B"/>
    <w:rsid w:val="00BE0F9D"/>
    <w:rsid w:val="00DC41BE"/>
    <w:rsid w:val="00F06381"/>
    <w:rsid w:val="00F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0D60"/>
  <w15:chartTrackingRefBased/>
  <w15:docId w15:val="{BAE43926-33CA-4664-9DBA-130720ED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6DC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F06DC"/>
    <w:pPr>
      <w:spacing w:after="200" w:line="240" w:lineRule="auto"/>
      <w:jc w:val="both"/>
    </w:pPr>
    <w:rPr>
      <w:rFonts w:ascii="Times New Roman" w:eastAsia="Times New Roman" w:hAnsi="Times New Roman" w:cs="Times New Roman"/>
      <w:iCs/>
      <w:color w:val="000000" w:themeColor="text1"/>
      <w:sz w:val="18"/>
      <w:szCs w:val="18"/>
      <w14:ligatures w14:val="none"/>
    </w:rPr>
  </w:style>
  <w:style w:type="character" w:customStyle="1" w:styleId="TAMainTextChar">
    <w:name w:val="TA Main Text Char"/>
    <w:basedOn w:val="DefaultParagraphFont"/>
    <w:link w:val="TAMainText"/>
    <w:locked/>
    <w:rsid w:val="004F06DC"/>
    <w:rPr>
      <w:rFonts w:ascii="Times New Roman" w:hAnsi="Times New Roman" w:cs="Times New Roman"/>
      <w:kern w:val="21"/>
      <w:sz w:val="20"/>
      <w:szCs w:val="20"/>
    </w:rPr>
  </w:style>
  <w:style w:type="paragraph" w:customStyle="1" w:styleId="TAMainText">
    <w:name w:val="TA Main Text"/>
    <w:basedOn w:val="Normal"/>
    <w:link w:val="TAMainTextChar"/>
    <w:qFormat/>
    <w:rsid w:val="004F06DC"/>
    <w:pPr>
      <w:spacing w:after="120" w:line="240" w:lineRule="auto"/>
      <w:jc w:val="both"/>
    </w:pPr>
    <w:rPr>
      <w:rFonts w:ascii="Times New Roman" w:hAnsi="Times New Roman" w:cs="Times New Roman"/>
      <w:kern w:val="21"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4F06DC"/>
    <w:pPr>
      <w:spacing w:line="256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F06DC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basedOn w:val="DefaultParagraphFont"/>
    <w:link w:val="Caption"/>
    <w:uiPriority w:val="35"/>
    <w:locked/>
    <w:rsid w:val="004F06DC"/>
    <w:rPr>
      <w:rFonts w:ascii="Times New Roman" w:eastAsia="Times New Roman" w:hAnsi="Times New Roman" w:cs="Times New Roman"/>
      <w:iCs/>
      <w:color w:val="000000" w:themeColor="text1"/>
      <w:sz w:val="18"/>
      <w:szCs w:val="18"/>
      <w14:ligatures w14:val="none"/>
    </w:rPr>
  </w:style>
  <w:style w:type="character" w:customStyle="1" w:styleId="MaintextChar">
    <w:name w:val="Main text Char"/>
    <w:basedOn w:val="DefaultParagraphFont"/>
    <w:link w:val="Maintext"/>
    <w:rsid w:val="004F06D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aliasmainname">
    <w:name w:val="aliasmainname"/>
    <w:basedOn w:val="DefaultParagraphFont"/>
    <w:rsid w:val="004F06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922</Words>
  <Characters>6563</Characters>
  <Application>Microsoft Office Word</Application>
  <DocSecurity>0</DocSecurity>
  <Lines>312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Berezin, Mikhail</dc:creator>
  <cp:keywords/>
  <dc:description/>
  <cp:lastModifiedBy>Berezin, Mikhail</cp:lastModifiedBy>
  <cp:revision>3</cp:revision>
  <dcterms:created xsi:type="dcterms:W3CDTF">2026-02-11T19:32:00Z</dcterms:created>
  <dcterms:modified xsi:type="dcterms:W3CDTF">2026-02-11T19:54:00Z</dcterms:modified>
</cp:coreProperties>
</file>